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Student`s Name:</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Instructor`s Name:</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Course:</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 xml:space="preserve">Date:  </w:t>
      </w:r>
    </w:p>
    <w:p w:rsidR="003B664E" w:rsidRPr="003B664E" w:rsidRDefault="003B664E" w:rsidP="003B664E">
      <w:pPr>
        <w:tabs>
          <w:tab w:val="left" w:pos="2280"/>
        </w:tabs>
        <w:spacing w:line="480" w:lineRule="auto"/>
        <w:jc w:val="center"/>
        <w:rPr>
          <w:rFonts w:ascii="Times New Roman" w:hAnsi="Times New Roman" w:cs="Times New Roman"/>
          <w:b/>
          <w:sz w:val="24"/>
          <w:szCs w:val="24"/>
        </w:rPr>
      </w:pPr>
      <w:r w:rsidRPr="003B664E">
        <w:rPr>
          <w:rFonts w:ascii="Times New Roman" w:hAnsi="Times New Roman" w:cs="Times New Roman"/>
          <w:b/>
          <w:sz w:val="24"/>
          <w:szCs w:val="24"/>
        </w:rPr>
        <w:t>The American Revolution</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Was the American Revolution a turning point for White Women in North America? The American Revolution provided the platform on which the wheel of change in regards to women turned. Women had for long been relegated down to domestic responsibilities with little to no representation in the existing forms of administration. The society operated in such a way that opportunities went to men so did the representation. As the men advocated for independence, the women saw a massive opportunity in this to not only work towards national freedom as was everybody else but also inside this fight champion for their freedom from the oppressive men. The revolution formed the springboard on which civil societies came into existence proving that in unity come results as the conception may be.</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 xml:space="preserve">What were the interests and concerns white women expressed in the years leading up to the American Revolution? As much as the war was going for the Americans to walk towards emancipation from British rule, women were not as eager for that freedom as one would have expected them to be. To them, liberty not only meant being from foreign rule but also being free from the rule of own people. According to Abigail&amp; Adams, the men viewed them as tools of sexual gratification and nothing else, and that did not augur well to them (2). This primary source </w:t>
      </w:r>
      <w:r w:rsidRPr="003B664E">
        <w:rPr>
          <w:rFonts w:ascii="Times New Roman" w:hAnsi="Times New Roman" w:cs="Times New Roman"/>
          <w:sz w:val="24"/>
          <w:szCs w:val="24"/>
        </w:rPr>
        <w:lastRenderedPageBreak/>
        <w:t>gives an insight of how women were subjected to many forms of inequalities. From the structure of society, they were second-class citizens, and that was not only a violation of human principal but also looked down on the fundamental principles of Christianity of equal treatment. The women were looking forward to independence that recognized them as equal beings and citizens and the creation of a governmental system that gave them as much representation as the men had. And that to them was more important than breaking free, as the commissions and omissions that led to the non-creation of domestic liberty was still a system of foreign rule.</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What evidence do we have of how the men in their lives reacted?</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Society had a structure in which, as women observed, women were more subordinate to men with little to no representation in vital societal and national issues. The reaction of men about this observation, or accusation for that matter, was not of denial.  But was a confirmation that what was raised existed. Men play down, and rather arrogantly, that concern that in fact, the structure of society favored men "Respect us then as humans placed by wisdom in your safety and practice of the Superlative Creature make use of that influence for our pleasure" (Abigail&amp; Adams). According to this quote, the author felt that women were perceived to be lesser human being and not considered as men.  They shoot back in the apparent show that what was felt at then was in fact not in full force, as they were exercising restraint. The evidence of this reaction can be seen in the exchange of the letters between Abigail and Adams in 1776. In his reply to Abigail over her concerns, Adams says that they are obliged to play fair and not exert full force, and that was an obligation on their part.</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 xml:space="preserve">In what ways did white women hope the American Revolution would have an impact on their lives? Women hoped that the after war outcomes would be those that gave them the opportunity </w:t>
      </w:r>
      <w:r w:rsidRPr="003B664E">
        <w:rPr>
          <w:rFonts w:ascii="Times New Roman" w:hAnsi="Times New Roman" w:cs="Times New Roman"/>
          <w:sz w:val="24"/>
          <w:szCs w:val="24"/>
        </w:rPr>
        <w:lastRenderedPageBreak/>
        <w:t>to further their academic interests. Rush, the proponent of women education, was the conduit and the major factor not only in Pennsylvania but also the entire nation. "The attention of women must be directed immediately when they are ready for opportunities such as education" (Rush, 7) the source Benjamin Rush and Women's Education shows how reforms were advocated to help women achieve the education. Additionally, they also envisioned a society that was neutral in the allocation of opportunities and treatment and that included representation in the systems and levels of government.</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 xml:space="preserve">How much were white women's lives changed in the aftermath of the American Revolution? </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 xml:space="preserve">There was however sharp mismatch between their vision and what came to pass as reality after the revolution. While the country had broken free from British rule, the freedom of the women took an opposite direction. They lost their voting rights in most of the thirteen colonies and were not given the fair hearing in male-dominated courts regarding various issues such as property ownership (Ambuske, Burns, Beatty, Carrick, Consolino, </w:t>
      </w:r>
      <w:proofErr w:type="spellStart"/>
      <w:r w:rsidRPr="003B664E">
        <w:rPr>
          <w:rFonts w:ascii="Times New Roman" w:hAnsi="Times New Roman" w:cs="Times New Roman"/>
          <w:sz w:val="24"/>
          <w:szCs w:val="24"/>
        </w:rPr>
        <w:t>Hattem</w:t>
      </w:r>
      <w:proofErr w:type="spellEnd"/>
      <w:r w:rsidRPr="003B664E">
        <w:rPr>
          <w:rFonts w:ascii="Times New Roman" w:hAnsi="Times New Roman" w:cs="Times New Roman"/>
          <w:sz w:val="24"/>
          <w:szCs w:val="24"/>
        </w:rPr>
        <w:t xml:space="preserve">, </w:t>
      </w:r>
      <w:proofErr w:type="spellStart"/>
      <w:r w:rsidRPr="003B664E">
        <w:rPr>
          <w:rFonts w:ascii="Times New Roman" w:hAnsi="Times New Roman" w:cs="Times New Roman"/>
          <w:sz w:val="24"/>
          <w:szCs w:val="24"/>
        </w:rPr>
        <w:t>Hemmis</w:t>
      </w:r>
      <w:proofErr w:type="spellEnd"/>
      <w:r w:rsidRPr="003B664E">
        <w:rPr>
          <w:rFonts w:ascii="Times New Roman" w:hAnsi="Times New Roman" w:cs="Times New Roman"/>
          <w:sz w:val="24"/>
          <w:szCs w:val="24"/>
        </w:rPr>
        <w:t>, Moore, Romeo, &amp;</w:t>
      </w:r>
      <w:r w:rsidR="004B46E8" w:rsidRPr="003B664E">
        <w:rPr>
          <w:rFonts w:ascii="Times New Roman" w:hAnsi="Times New Roman" w:cs="Times New Roman"/>
          <w:sz w:val="24"/>
          <w:szCs w:val="24"/>
        </w:rPr>
        <w:t>Snapshot</w:t>
      </w:r>
      <w:r w:rsidRPr="003B664E">
        <w:rPr>
          <w:rFonts w:ascii="Times New Roman" w:hAnsi="Times New Roman" w:cs="Times New Roman"/>
          <w:sz w:val="24"/>
          <w:szCs w:val="24"/>
        </w:rPr>
        <w:t xml:space="preserve">, 32). Following this, as a struggle to break free from this, there were formations of social movements leading to active participation in the political life "The thing to ensure security for us is the likelihood that there are some few regions in America that has a lot of  female weaponry as Edenton." (Carney, 1). The author uses the quote to emphasize the loss of various rights such as being able to participate in voting. </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 xml:space="preserve">What was "republican motherhood"? This was a concept and practice that characterized the lifestyle of the Republican households however republican mothers were regarded as custodians of republicanism and so were expected to pass them on to the next generations "equal portion that each civilian has in the freedom, and the potential share he may have in the government of </w:t>
      </w:r>
      <w:r w:rsidRPr="003B664E">
        <w:rPr>
          <w:rFonts w:ascii="Times New Roman" w:hAnsi="Times New Roman" w:cs="Times New Roman"/>
          <w:sz w:val="24"/>
          <w:szCs w:val="24"/>
        </w:rPr>
        <w:lastRenderedPageBreak/>
        <w:t>the nation."  (Rush, 40). And this was also in alignment with the role women occupied as was the structure of society and as complained by Abigail in her letter to John Adams where women were nothing beyond family raisers.</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Midwife Tale Who was she and how do we know about her life? Ballard was an American Midwife and healer who in works of delivery oversaw over 1000 births. She recorded events in her diary that have provided insightful information regarding the lives of frontier women (Thatcher, 5). Ballard was made known through the publication of A Midwife's Tale: The Life of Martha Ballard. It can be recounted that she wrote events in her diary regarding her work and that is what formed the basis of the publication by Laurel Thatcher in 1990.</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How much impact did the American Revolution have on Ballard's life?</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 xml:space="preserve">The events of the revolution contributed significantly to the midwifery work of Ballard. As referenced, women were second citizens whose roles were mostly raising families. With the concept of republican motherhood, it meant specialized care for women for intergenerational inclinations. Ballard from a combination of these and other events led her to oversee in her career many births as documented in her diary. Additionally, as a consequence of the structure of society that gave men more focus in the very field, there is no doubt that her work as the woman did not receive much attention and consideration as that that was a necessity in healthcare as the case was for men and physicians. Women did not take this lying down and pursued different platforms of revolt and resistance for change as was the case of Abigail and the Edenton Tea Party. </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t>Ballard was shaped by these events that only served as an impetus to work even more.</w:t>
      </w:r>
    </w:p>
    <w:p w:rsidR="003B664E" w:rsidRPr="003B664E" w:rsidRDefault="003B664E" w:rsidP="003B664E">
      <w:pPr>
        <w:tabs>
          <w:tab w:val="left" w:pos="2280"/>
        </w:tabs>
        <w:spacing w:line="480" w:lineRule="auto"/>
        <w:rPr>
          <w:rFonts w:ascii="Times New Roman" w:hAnsi="Times New Roman" w:cs="Times New Roman"/>
          <w:sz w:val="24"/>
          <w:szCs w:val="24"/>
        </w:rPr>
      </w:pPr>
      <w:r w:rsidRPr="003B664E">
        <w:rPr>
          <w:rFonts w:ascii="Times New Roman" w:hAnsi="Times New Roman" w:cs="Times New Roman"/>
          <w:sz w:val="24"/>
          <w:szCs w:val="24"/>
        </w:rPr>
        <w:lastRenderedPageBreak/>
        <w:t>Does her life suggest that the American Revolution was or was not a turning point for white women? Why? From this hindsight, it is correct to say that the revolution, in fact, served as a platform for the change in the lives of women. As the country focused on breaking free from the British, the women found and used this as an avenue to show their might and unity towards own emancipation. It also provided the channel through which they could reach out to the men in expressing their displeasure in the structure of society concerning gender roles and recognition "all the women of the community have to work to help provide for their families" (Thatcher). They have never looked back as modern society has fortified platform of women voices.</w:t>
      </w: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3B664E" w:rsidRDefault="003B664E" w:rsidP="003B664E">
      <w:pPr>
        <w:tabs>
          <w:tab w:val="left" w:pos="2280"/>
        </w:tabs>
        <w:spacing w:line="480" w:lineRule="auto"/>
        <w:rPr>
          <w:rFonts w:ascii="Times New Roman" w:hAnsi="Times New Roman" w:cs="Times New Roman"/>
          <w:sz w:val="24"/>
          <w:szCs w:val="24"/>
        </w:rPr>
      </w:pPr>
    </w:p>
    <w:p w:rsidR="003B664E" w:rsidRPr="004B46E8" w:rsidRDefault="003B664E" w:rsidP="004B46E8">
      <w:pPr>
        <w:tabs>
          <w:tab w:val="left" w:pos="2280"/>
        </w:tabs>
        <w:spacing w:line="480" w:lineRule="auto"/>
        <w:jc w:val="center"/>
        <w:rPr>
          <w:rFonts w:ascii="Times New Roman" w:hAnsi="Times New Roman" w:cs="Times New Roman"/>
          <w:b/>
          <w:sz w:val="24"/>
          <w:szCs w:val="24"/>
        </w:rPr>
      </w:pPr>
      <w:r w:rsidRPr="004B46E8">
        <w:rPr>
          <w:rFonts w:ascii="Times New Roman" w:hAnsi="Times New Roman" w:cs="Times New Roman"/>
          <w:b/>
          <w:sz w:val="24"/>
          <w:szCs w:val="24"/>
        </w:rPr>
        <w:lastRenderedPageBreak/>
        <w:t>Works cited</w:t>
      </w:r>
    </w:p>
    <w:p w:rsidR="004B46E8" w:rsidRPr="003B664E" w:rsidRDefault="004B46E8" w:rsidP="004B46E8">
      <w:pPr>
        <w:tabs>
          <w:tab w:val="left" w:pos="2280"/>
        </w:tabs>
        <w:spacing w:line="360" w:lineRule="auto"/>
        <w:ind w:left="2279" w:hanging="2279"/>
        <w:rPr>
          <w:rFonts w:ascii="Times New Roman" w:hAnsi="Times New Roman" w:cs="Times New Roman"/>
          <w:sz w:val="24"/>
          <w:szCs w:val="24"/>
        </w:rPr>
      </w:pPr>
      <w:r w:rsidRPr="003B664E">
        <w:rPr>
          <w:rFonts w:ascii="Times New Roman" w:hAnsi="Times New Roman" w:cs="Times New Roman"/>
          <w:sz w:val="24"/>
          <w:szCs w:val="24"/>
        </w:rPr>
        <w:t xml:space="preserve">Ambuske, J., Burns, A., Beatty, J., Carrick, C., Consolino,.C,  </w:t>
      </w:r>
      <w:proofErr w:type="spellStart"/>
      <w:r w:rsidRPr="003B664E">
        <w:rPr>
          <w:rFonts w:ascii="Times New Roman" w:hAnsi="Times New Roman" w:cs="Times New Roman"/>
          <w:sz w:val="24"/>
          <w:szCs w:val="24"/>
        </w:rPr>
        <w:t>Hattem</w:t>
      </w:r>
      <w:proofErr w:type="spellEnd"/>
      <w:r w:rsidRPr="003B664E">
        <w:rPr>
          <w:rFonts w:ascii="Times New Roman" w:hAnsi="Times New Roman" w:cs="Times New Roman"/>
          <w:sz w:val="24"/>
          <w:szCs w:val="24"/>
        </w:rPr>
        <w:t xml:space="preserve">, M., </w:t>
      </w:r>
      <w:proofErr w:type="spellStart"/>
      <w:r w:rsidRPr="003B664E">
        <w:rPr>
          <w:rFonts w:ascii="Times New Roman" w:hAnsi="Times New Roman" w:cs="Times New Roman"/>
          <w:sz w:val="24"/>
          <w:szCs w:val="24"/>
        </w:rPr>
        <w:t>Hemmis</w:t>
      </w:r>
      <w:proofErr w:type="spellEnd"/>
      <w:r w:rsidRPr="003B664E">
        <w:rPr>
          <w:rFonts w:ascii="Times New Roman" w:hAnsi="Times New Roman" w:cs="Times New Roman"/>
          <w:sz w:val="24"/>
          <w:szCs w:val="24"/>
        </w:rPr>
        <w:t>, T.C., Moore, J., Romeo, E., &amp;</w:t>
      </w:r>
      <w:proofErr w:type="spellStart"/>
      <w:r w:rsidRPr="003B664E">
        <w:rPr>
          <w:rFonts w:ascii="Times New Roman" w:hAnsi="Times New Roman" w:cs="Times New Roman"/>
          <w:sz w:val="24"/>
          <w:szCs w:val="24"/>
        </w:rPr>
        <w:t>SparshotT,.C</w:t>
      </w:r>
      <w:proofErr w:type="spellEnd"/>
      <w:r w:rsidRPr="003B664E">
        <w:rPr>
          <w:rFonts w:ascii="Times New Roman" w:hAnsi="Times New Roman" w:cs="Times New Roman"/>
          <w:sz w:val="24"/>
          <w:szCs w:val="24"/>
        </w:rPr>
        <w:t>., "The American Revolution," The American Yawp, Joseph Locke and Ben Wright, 2017</w:t>
      </w:r>
    </w:p>
    <w:p w:rsidR="004B46E8" w:rsidRPr="003B664E" w:rsidRDefault="004B46E8" w:rsidP="004B46E8">
      <w:pPr>
        <w:tabs>
          <w:tab w:val="left" w:pos="2280"/>
        </w:tabs>
        <w:spacing w:line="360" w:lineRule="auto"/>
        <w:ind w:left="2279" w:hanging="2279"/>
        <w:rPr>
          <w:rFonts w:ascii="Times New Roman" w:hAnsi="Times New Roman" w:cs="Times New Roman"/>
          <w:sz w:val="24"/>
          <w:szCs w:val="24"/>
        </w:rPr>
      </w:pPr>
      <w:r w:rsidRPr="003B664E">
        <w:rPr>
          <w:rFonts w:ascii="Times New Roman" w:hAnsi="Times New Roman" w:cs="Times New Roman"/>
          <w:sz w:val="24"/>
          <w:szCs w:val="24"/>
        </w:rPr>
        <w:t xml:space="preserve">Benjamin Rush; </w:t>
      </w:r>
      <w:proofErr w:type="gramStart"/>
      <w:r w:rsidRPr="003B664E">
        <w:rPr>
          <w:rFonts w:ascii="Times New Roman" w:hAnsi="Times New Roman" w:cs="Times New Roman"/>
          <w:sz w:val="24"/>
          <w:szCs w:val="24"/>
        </w:rPr>
        <w:t>The</w:t>
      </w:r>
      <w:proofErr w:type="gramEnd"/>
      <w:r w:rsidRPr="003B664E">
        <w:rPr>
          <w:rFonts w:ascii="Times New Roman" w:hAnsi="Times New Roman" w:cs="Times New Roman"/>
          <w:sz w:val="24"/>
          <w:szCs w:val="24"/>
        </w:rPr>
        <w:t xml:space="preserve"> Education of Republican Women, 1798.</w:t>
      </w:r>
    </w:p>
    <w:p w:rsidR="004B46E8" w:rsidRPr="003B664E" w:rsidRDefault="004B46E8" w:rsidP="004B46E8">
      <w:pPr>
        <w:tabs>
          <w:tab w:val="left" w:pos="2280"/>
        </w:tabs>
        <w:spacing w:line="360" w:lineRule="auto"/>
        <w:ind w:left="2279" w:hanging="2279"/>
        <w:rPr>
          <w:rFonts w:ascii="Times New Roman" w:hAnsi="Times New Roman" w:cs="Times New Roman"/>
          <w:sz w:val="24"/>
          <w:szCs w:val="24"/>
        </w:rPr>
      </w:pPr>
      <w:r w:rsidRPr="003B664E">
        <w:rPr>
          <w:rFonts w:ascii="Times New Roman" w:hAnsi="Times New Roman" w:cs="Times New Roman"/>
          <w:sz w:val="24"/>
          <w:szCs w:val="24"/>
        </w:rPr>
        <w:t>Laurel Thatcher: A Midwife's Tale; the life of Martha Ballard based on her diary 1785-1812, 1990</w:t>
      </w:r>
    </w:p>
    <w:p w:rsidR="004B46E8" w:rsidRPr="00920FA3" w:rsidRDefault="004B46E8" w:rsidP="004B46E8">
      <w:pPr>
        <w:tabs>
          <w:tab w:val="left" w:pos="2280"/>
        </w:tabs>
        <w:spacing w:line="360" w:lineRule="auto"/>
        <w:ind w:left="2279" w:hanging="2279"/>
        <w:rPr>
          <w:rFonts w:ascii="Times New Roman" w:hAnsi="Times New Roman" w:cs="Times New Roman"/>
          <w:sz w:val="24"/>
          <w:szCs w:val="24"/>
        </w:rPr>
      </w:pPr>
      <w:r w:rsidRPr="003B664E">
        <w:rPr>
          <w:rFonts w:ascii="Times New Roman" w:hAnsi="Times New Roman" w:cs="Times New Roman"/>
          <w:sz w:val="24"/>
          <w:szCs w:val="24"/>
        </w:rPr>
        <w:t>Richard Carney, Edenton Tea Party, 2018. The American Yawp: Abigail and John Adams Converse on Women's Rights, 1776</w:t>
      </w:r>
    </w:p>
    <w:sectPr w:rsidR="004B46E8" w:rsidRPr="00920FA3" w:rsidSect="0094723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D2A" w:rsidRDefault="008D5D2A" w:rsidP="00920FA3">
      <w:pPr>
        <w:spacing w:after="0" w:line="240" w:lineRule="auto"/>
      </w:pPr>
      <w:r>
        <w:separator/>
      </w:r>
    </w:p>
  </w:endnote>
  <w:endnote w:type="continuationSeparator" w:id="0">
    <w:p w:rsidR="008D5D2A" w:rsidRDefault="008D5D2A" w:rsidP="00920F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D2A" w:rsidRDefault="008D5D2A" w:rsidP="00920FA3">
      <w:pPr>
        <w:spacing w:after="0" w:line="240" w:lineRule="auto"/>
      </w:pPr>
      <w:r>
        <w:separator/>
      </w:r>
    </w:p>
  </w:footnote>
  <w:footnote w:type="continuationSeparator" w:id="0">
    <w:p w:rsidR="008D5D2A" w:rsidRDefault="008D5D2A" w:rsidP="00920F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5192694"/>
      <w:docPartObj>
        <w:docPartGallery w:val="Page Numbers (Top of Page)"/>
        <w:docPartUnique/>
      </w:docPartObj>
    </w:sdtPr>
    <w:sdtEndPr>
      <w:rPr>
        <w:rFonts w:ascii="Times New Roman" w:hAnsi="Times New Roman" w:cs="Times New Roman"/>
        <w:noProof/>
        <w:sz w:val="24"/>
        <w:szCs w:val="24"/>
      </w:rPr>
    </w:sdtEndPr>
    <w:sdtContent>
      <w:p w:rsidR="00920FA3" w:rsidRPr="00920FA3" w:rsidRDefault="00920FA3">
        <w:pPr>
          <w:pStyle w:val="Header"/>
          <w:jc w:val="right"/>
          <w:rPr>
            <w:rFonts w:ascii="Times New Roman" w:hAnsi="Times New Roman" w:cs="Times New Roman"/>
            <w:sz w:val="24"/>
            <w:szCs w:val="24"/>
          </w:rPr>
        </w:pPr>
        <w:r w:rsidRPr="00920FA3">
          <w:rPr>
            <w:rFonts w:ascii="Times New Roman" w:hAnsi="Times New Roman" w:cs="Times New Roman"/>
            <w:sz w:val="24"/>
            <w:szCs w:val="24"/>
          </w:rPr>
          <w:t xml:space="preserve">Surname </w:t>
        </w:r>
        <w:r w:rsidR="00773D47" w:rsidRPr="00920FA3">
          <w:rPr>
            <w:rFonts w:ascii="Times New Roman" w:hAnsi="Times New Roman" w:cs="Times New Roman"/>
            <w:sz w:val="24"/>
            <w:szCs w:val="24"/>
          </w:rPr>
          <w:fldChar w:fldCharType="begin"/>
        </w:r>
        <w:r w:rsidRPr="00920FA3">
          <w:rPr>
            <w:rFonts w:ascii="Times New Roman" w:hAnsi="Times New Roman" w:cs="Times New Roman"/>
            <w:sz w:val="24"/>
            <w:szCs w:val="24"/>
          </w:rPr>
          <w:instrText xml:space="preserve"> PAGE   \* MERGEFORMAT </w:instrText>
        </w:r>
        <w:r w:rsidR="00773D47" w:rsidRPr="00920FA3">
          <w:rPr>
            <w:rFonts w:ascii="Times New Roman" w:hAnsi="Times New Roman" w:cs="Times New Roman"/>
            <w:sz w:val="24"/>
            <w:szCs w:val="24"/>
          </w:rPr>
          <w:fldChar w:fldCharType="separate"/>
        </w:r>
        <w:r w:rsidR="004B46E8">
          <w:rPr>
            <w:rFonts w:ascii="Times New Roman" w:hAnsi="Times New Roman" w:cs="Times New Roman"/>
            <w:noProof/>
            <w:sz w:val="24"/>
            <w:szCs w:val="24"/>
          </w:rPr>
          <w:t>6</w:t>
        </w:r>
        <w:r w:rsidR="00773D47" w:rsidRPr="00920FA3">
          <w:rPr>
            <w:rFonts w:ascii="Times New Roman" w:hAnsi="Times New Roman" w:cs="Times New Roman"/>
            <w:noProof/>
            <w:sz w:val="24"/>
            <w:szCs w:val="24"/>
          </w:rPr>
          <w:fldChar w:fldCharType="end"/>
        </w:r>
      </w:p>
    </w:sdtContent>
  </w:sdt>
  <w:p w:rsidR="00920FA3" w:rsidRDefault="00920FA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20FA3"/>
    <w:rsid w:val="00070474"/>
    <w:rsid w:val="000E4164"/>
    <w:rsid w:val="00116DD7"/>
    <w:rsid w:val="00124E72"/>
    <w:rsid w:val="00166EFD"/>
    <w:rsid w:val="00170568"/>
    <w:rsid w:val="0019718E"/>
    <w:rsid w:val="001C49F8"/>
    <w:rsid w:val="002931E7"/>
    <w:rsid w:val="002A055D"/>
    <w:rsid w:val="002B5364"/>
    <w:rsid w:val="002E3481"/>
    <w:rsid w:val="002E392F"/>
    <w:rsid w:val="0036456B"/>
    <w:rsid w:val="003915FC"/>
    <w:rsid w:val="00394E79"/>
    <w:rsid w:val="003A39CA"/>
    <w:rsid w:val="003B3243"/>
    <w:rsid w:val="003B664E"/>
    <w:rsid w:val="003D2828"/>
    <w:rsid w:val="004654CF"/>
    <w:rsid w:val="00481BB4"/>
    <w:rsid w:val="004949D0"/>
    <w:rsid w:val="004A7821"/>
    <w:rsid w:val="004B46E8"/>
    <w:rsid w:val="004E2AFD"/>
    <w:rsid w:val="004E5732"/>
    <w:rsid w:val="0053778B"/>
    <w:rsid w:val="005565E0"/>
    <w:rsid w:val="0056602A"/>
    <w:rsid w:val="005A5673"/>
    <w:rsid w:val="005B055A"/>
    <w:rsid w:val="005B2FBA"/>
    <w:rsid w:val="005E0896"/>
    <w:rsid w:val="0060211D"/>
    <w:rsid w:val="00642E39"/>
    <w:rsid w:val="0064302B"/>
    <w:rsid w:val="00682E1A"/>
    <w:rsid w:val="00696701"/>
    <w:rsid w:val="006B0634"/>
    <w:rsid w:val="006F1A43"/>
    <w:rsid w:val="0072285B"/>
    <w:rsid w:val="007553A4"/>
    <w:rsid w:val="007679A6"/>
    <w:rsid w:val="00773D47"/>
    <w:rsid w:val="00787B92"/>
    <w:rsid w:val="00792356"/>
    <w:rsid w:val="007B3C85"/>
    <w:rsid w:val="007C0B0D"/>
    <w:rsid w:val="008A0E78"/>
    <w:rsid w:val="008D5D2A"/>
    <w:rsid w:val="009202D0"/>
    <w:rsid w:val="00920FA3"/>
    <w:rsid w:val="0094723E"/>
    <w:rsid w:val="009521CE"/>
    <w:rsid w:val="009C2C5C"/>
    <w:rsid w:val="00A24115"/>
    <w:rsid w:val="00A72CD8"/>
    <w:rsid w:val="00A75AF1"/>
    <w:rsid w:val="00A94380"/>
    <w:rsid w:val="00A95F01"/>
    <w:rsid w:val="00AC232F"/>
    <w:rsid w:val="00AF7BE5"/>
    <w:rsid w:val="00B24952"/>
    <w:rsid w:val="00B702BE"/>
    <w:rsid w:val="00B756CC"/>
    <w:rsid w:val="00BE7EC4"/>
    <w:rsid w:val="00BF0170"/>
    <w:rsid w:val="00C75F85"/>
    <w:rsid w:val="00C9109F"/>
    <w:rsid w:val="00D464E0"/>
    <w:rsid w:val="00DA1651"/>
    <w:rsid w:val="00DA34C1"/>
    <w:rsid w:val="00DC50CD"/>
    <w:rsid w:val="00DC59E5"/>
    <w:rsid w:val="00DE7CA1"/>
    <w:rsid w:val="00E10892"/>
    <w:rsid w:val="00E12D6A"/>
    <w:rsid w:val="00E51D47"/>
    <w:rsid w:val="00E82FE9"/>
    <w:rsid w:val="00EB4636"/>
    <w:rsid w:val="00ED3012"/>
    <w:rsid w:val="00F26608"/>
    <w:rsid w:val="00F31596"/>
    <w:rsid w:val="00FC3C4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D47"/>
  </w:style>
  <w:style w:type="paragraph" w:styleId="Heading1">
    <w:name w:val="heading 1"/>
    <w:basedOn w:val="Normal"/>
    <w:link w:val="Heading1Char"/>
    <w:uiPriority w:val="9"/>
    <w:qFormat/>
    <w:rsid w:val="002931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51D4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FA3"/>
  </w:style>
  <w:style w:type="paragraph" w:styleId="Footer">
    <w:name w:val="footer"/>
    <w:basedOn w:val="Normal"/>
    <w:link w:val="FooterChar"/>
    <w:uiPriority w:val="99"/>
    <w:unhideWhenUsed/>
    <w:rsid w:val="0092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FA3"/>
  </w:style>
  <w:style w:type="character" w:styleId="Emphasis">
    <w:name w:val="Emphasis"/>
    <w:basedOn w:val="DefaultParagraphFont"/>
    <w:uiPriority w:val="20"/>
    <w:qFormat/>
    <w:rsid w:val="00642E39"/>
    <w:rPr>
      <w:i/>
      <w:iCs/>
    </w:rPr>
  </w:style>
  <w:style w:type="character" w:customStyle="1" w:styleId="Heading1Char">
    <w:name w:val="Heading 1 Char"/>
    <w:basedOn w:val="DefaultParagraphFont"/>
    <w:link w:val="Heading1"/>
    <w:uiPriority w:val="9"/>
    <w:rsid w:val="002931E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51D4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931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51D4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FA3"/>
  </w:style>
  <w:style w:type="paragraph" w:styleId="Footer">
    <w:name w:val="footer"/>
    <w:basedOn w:val="Normal"/>
    <w:link w:val="FooterChar"/>
    <w:uiPriority w:val="99"/>
    <w:unhideWhenUsed/>
    <w:rsid w:val="0092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FA3"/>
  </w:style>
  <w:style w:type="character" w:styleId="Emphasis">
    <w:name w:val="Emphasis"/>
    <w:basedOn w:val="DefaultParagraphFont"/>
    <w:uiPriority w:val="20"/>
    <w:qFormat/>
    <w:rsid w:val="00642E39"/>
    <w:rPr>
      <w:i/>
      <w:iCs/>
    </w:rPr>
  </w:style>
  <w:style w:type="character" w:customStyle="1" w:styleId="Heading1Char">
    <w:name w:val="Heading 1 Char"/>
    <w:basedOn w:val="DefaultParagraphFont"/>
    <w:link w:val="Heading1"/>
    <w:uiPriority w:val="9"/>
    <w:rsid w:val="002931E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51D47"/>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545289131">
      <w:bodyDiv w:val="1"/>
      <w:marLeft w:val="0"/>
      <w:marRight w:val="0"/>
      <w:marTop w:val="0"/>
      <w:marBottom w:val="0"/>
      <w:divBdr>
        <w:top w:val="none" w:sz="0" w:space="0" w:color="auto"/>
        <w:left w:val="none" w:sz="0" w:space="0" w:color="auto"/>
        <w:bottom w:val="none" w:sz="0" w:space="0" w:color="auto"/>
        <w:right w:val="none" w:sz="0" w:space="0" w:color="auto"/>
      </w:divBdr>
    </w:div>
    <w:div w:id="1453398259">
      <w:bodyDiv w:val="1"/>
      <w:marLeft w:val="0"/>
      <w:marRight w:val="0"/>
      <w:marTop w:val="0"/>
      <w:marBottom w:val="0"/>
      <w:divBdr>
        <w:top w:val="none" w:sz="0" w:space="0" w:color="auto"/>
        <w:left w:val="none" w:sz="0" w:space="0" w:color="auto"/>
        <w:bottom w:val="none" w:sz="0" w:space="0" w:color="auto"/>
        <w:right w:val="none" w:sz="0" w:space="0" w:color="auto"/>
      </w:divBdr>
    </w:div>
    <w:div w:id="170925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2018-06-14T13:20:00Z</dcterms:created>
  <dcterms:modified xsi:type="dcterms:W3CDTF">2018-06-14T13:26:00Z</dcterms:modified>
</cp:coreProperties>
</file>